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《蹲马步管理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七剑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》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一.课程背景：</w:t>
      </w:r>
    </w:p>
    <w:p>
      <w:pPr>
        <w:autoSpaceDE w:val="0"/>
        <w:spacing w:line="400" w:lineRule="exact"/>
        <w:ind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VUCA时代，管理者在日常的管理中，会普遍存在诸多困惑，我们应该如何应对呢，阿里巴巴蹲马步课程值得借鉴，通过系统化的训练，大大提升新晋升管理者能力，借事修人，借人修事。本课程将结合本人在阿里巴巴工作的实战经验，重点解密阿里巴巴面向管理者培养的精华内容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企业在发展中，管理人才提升是一个核心问题，是否遇到如下问题：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目标难 老板布置的目标，屡屡无法完成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没动力 员工做事没动力，自驱力较差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缺方向 工作没成就感，对未来很迷茫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少人才 外部人才难招，内部人才难留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二．解决问题：</w:t>
      </w:r>
    </w:p>
    <w:p>
      <w:pPr>
        <w:pStyle w:val="4"/>
        <w:numPr>
          <w:ilvl w:val="0"/>
          <w:numId w:val="2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帮助企业管理者建立共同的管理语言和树立正确的管理意识</w:t>
      </w:r>
    </w:p>
    <w:p>
      <w:pPr>
        <w:pStyle w:val="4"/>
        <w:numPr>
          <w:ilvl w:val="0"/>
          <w:numId w:val="2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帮助企业搭建系统的经营管理体系</w:t>
      </w:r>
    </w:p>
    <w:p>
      <w:pPr>
        <w:pStyle w:val="4"/>
        <w:numPr>
          <w:ilvl w:val="0"/>
          <w:numId w:val="2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帮助企业管理者拿到结果（管人+理事）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三．受训对象</w:t>
      </w:r>
      <w:r>
        <w:rPr>
          <w:rFonts w:hint="eastAsia" w:ascii="微软雅黑" w:hAnsi="微软雅黑" w:eastAsia="微软雅黑" w:cs="微软雅黑"/>
          <w:sz w:val="21"/>
          <w:szCs w:val="21"/>
        </w:rPr>
        <w:t>：新晋升管理者，储备干部、各级管理者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四．授课方式：分组讨论+案例分析+学员分享+分组PK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五．课程大纲：</w:t>
      </w:r>
    </w:p>
    <w:p>
      <w:pPr>
        <w:spacing w:line="500" w:lineRule="exact"/>
        <w:jc w:val="left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第一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剑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：角色认知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-管理者自我认知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从P到M需要什么转变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？</w:t>
      </w:r>
    </w:p>
    <w:p>
      <w:p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2、如何向上管理、向下管理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3、时间管理、沟通管理</w:t>
      </w:r>
      <w:r>
        <w:rPr>
          <w:rFonts w:hint="eastAsia" w:ascii="微软雅黑" w:hAnsi="微软雅黑" w:eastAsia="微软雅黑" w:cs="微软雅黑"/>
          <w:sz w:val="21"/>
          <w:szCs w:val="21"/>
        </w:rPr>
        <w:t>？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第二剑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：定目标-如何科学的制定目标并达成共识</w:t>
      </w:r>
    </w:p>
    <w:p>
      <w:pPr>
        <w:numPr>
          <w:ilvl w:val="0"/>
          <w:numId w:val="3"/>
        </w:num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如何通目标</w:t>
      </w:r>
    </w:p>
    <w:p>
      <w:pPr>
        <w:numPr>
          <w:ilvl w:val="0"/>
          <w:numId w:val="3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如何订目标</w:t>
      </w:r>
    </w:p>
    <w:p>
      <w:pPr>
        <w:numPr>
          <w:ilvl w:val="0"/>
          <w:numId w:val="3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如何晒目标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三剑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：追过程-如何有效的追踪过程</w:t>
      </w:r>
    </w:p>
    <w:p>
      <w:pPr>
        <w:numPr>
          <w:ilvl w:val="0"/>
          <w:numId w:val="4"/>
        </w:num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追过程的卡点</w:t>
      </w:r>
    </w:p>
    <w:p>
      <w:pPr>
        <w:numPr>
          <w:ilvl w:val="0"/>
          <w:numId w:val="4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追过程是追哪些方面</w:t>
      </w:r>
    </w:p>
    <w:p>
      <w:pPr>
        <w:numPr>
          <w:ilvl w:val="0"/>
          <w:numId w:val="4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追过程误区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四剑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：拿结果-如何通过分析仪表盘数据拿到结果</w:t>
      </w:r>
    </w:p>
    <w:p>
      <w:pPr>
        <w:numPr>
          <w:ilvl w:val="0"/>
          <w:numId w:val="5"/>
        </w:num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我们要的结果是什么？</w:t>
      </w:r>
    </w:p>
    <w:p>
      <w:pPr>
        <w:numPr>
          <w:ilvl w:val="0"/>
          <w:numId w:val="5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如何拿结果</w:t>
      </w:r>
    </w:p>
    <w:p>
      <w:pPr>
        <w:numPr>
          <w:ilvl w:val="0"/>
          <w:numId w:val="5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如何做复盘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五剑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：搭班子-如何招聘和解雇</w:t>
      </w:r>
    </w:p>
    <w:p>
      <w:pPr>
        <w:numPr>
          <w:ilvl w:val="0"/>
          <w:numId w:val="6"/>
        </w:num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招人的渠道</w:t>
      </w:r>
    </w:p>
    <w:p>
      <w:pPr>
        <w:numPr>
          <w:ilvl w:val="0"/>
          <w:numId w:val="6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招人的方法与工具</w:t>
      </w:r>
    </w:p>
    <w:p>
      <w:pPr>
        <w:numPr>
          <w:ilvl w:val="0"/>
          <w:numId w:val="6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解雇的三步曲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六剑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：练团队-如何培养和辅导团队</w:t>
      </w:r>
    </w:p>
    <w:p>
      <w:pPr>
        <w:numPr>
          <w:ilvl w:val="0"/>
          <w:numId w:val="7"/>
        </w:num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辅导的四象限</w:t>
      </w:r>
    </w:p>
    <w:p>
      <w:pPr>
        <w:numPr>
          <w:ilvl w:val="0"/>
          <w:numId w:val="7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新人辅导十六字方针</w:t>
      </w:r>
    </w:p>
    <w:p>
      <w:pPr>
        <w:numPr>
          <w:ilvl w:val="0"/>
          <w:numId w:val="7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如何激励四类人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七剑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：树文化-如何建立团队高绩效文化</w:t>
      </w:r>
    </w:p>
    <w:p>
      <w:pPr>
        <w:numPr>
          <w:ilvl w:val="0"/>
          <w:numId w:val="8"/>
        </w:num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文化洋葱模型</w:t>
      </w:r>
    </w:p>
    <w:p>
      <w:pPr>
        <w:numPr>
          <w:ilvl w:val="0"/>
          <w:numId w:val="8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文化如何落地</w:t>
      </w:r>
    </w:p>
    <w:p>
      <w:pPr>
        <w:numPr>
          <w:ilvl w:val="0"/>
          <w:numId w:val="8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团队文化落地3215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老师简介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83185</wp:posOffset>
            </wp:positionV>
            <wp:extent cx="2013585" cy="2058035"/>
            <wp:effectExtent l="0" t="0" r="5715" b="12065"/>
            <wp:wrapSquare wrapText="bothSides"/>
            <wp:docPr id="1" name="图片 14" descr="9112869bf06cdef7638e0f2673de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9112869bf06cdef7638e0f2673de0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D0D0D"/>
          <w:szCs w:val="21"/>
        </w:rPr>
        <w:t>工作经历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标杆学习阿里巴巴资深专家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阿里云全球培训中心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黄金级</w:t>
      </w:r>
      <w:r>
        <w:rPr>
          <w:rFonts w:hint="eastAsia" w:ascii="微软雅黑" w:hAnsi="微软雅黑" w:eastAsia="微软雅黑" w:cs="微软雅黑"/>
          <w:szCs w:val="21"/>
        </w:rPr>
        <w:t>讲师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原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华夏基石平台化组织 总监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获奖情况：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曾获阿里巴巴颁发的“名师奖”，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曾获阿里巴巴颁发的“杰出贡献奖”，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曾获阿里巴巴颁发的“全国杰出分享网商奖”，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出版书籍：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出版互联网思维《决胜020》（北京理工大学出版社），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出版《互联网+阿里巴巴》（人民邮电出版社） 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教育经历：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美国索菲亚大学  MBA 硕士</w:t>
      </w:r>
    </w:p>
    <w:p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szCs w:val="21"/>
        </w:rPr>
        <w:t>部分服务过的企业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及反馈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84"/>
        <w:textAlignment w:val="auto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  <w:lang w:val="en-US" w:eastAsia="zh-CN"/>
        </w:rPr>
        <w:t>未满教育、中信集团出版社、辉瑞医药、蓝凌软件、五个女博士、贵茶集团、SIA教育、壳牌石油、通威集团、货拉拉、路劲地产集团、利宝保险、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</w:rPr>
        <w:t>金蝶</w:t>
      </w: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  <w:lang w:val="en-US" w:eastAsia="zh-CN"/>
        </w:rPr>
        <w:t>数字学堂、中信建投证券、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中石油天然气集团、方太厨具、云南建投、中建七局、</w:t>
      </w: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金蝶集团、创维集团、国药集团、中石化润滑油、延长石油、维信诺集团、舜宇集团、圣象地板、山东京博、合生元、波司登、致达集团、虎彩集团、良品铺子、途牛网、太极集团 </w:t>
      </w:r>
      <w:r>
        <w:rPr>
          <w:rFonts w:hint="eastAsia" w:ascii="微软雅黑" w:hAnsi="微软雅黑" w:eastAsia="微软雅黑" w:cs="微软雅黑"/>
          <w:color w:val="00000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</w:rPr>
        <w:t>宝沃汽车、东风特种汽车、上汽大众、一汽发动机公司 广东移动、沈阳移动、云南移动、江西移动 、河南邮政、黑龙江移动、甘肃移动、华勤技术、重庆联通、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远洋集团、</w:t>
      </w: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万科集团、泰禾集团、华润地产、正方集团、中建三局、深圳科技园、南京设计研究院 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证券、银行、金融行业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：中信建投证券、</w:t>
      </w:r>
      <w:r>
        <w:rPr>
          <w:rFonts w:hint="eastAsia" w:ascii="微软雅黑" w:hAnsi="微软雅黑" w:eastAsia="微软雅黑" w:cs="微软雅黑"/>
          <w:color w:val="000000"/>
          <w:szCs w:val="21"/>
        </w:rPr>
        <w:t>国信证券、中航证券、山西证券、中银国际证券、方正证券、湘财证券、财通证券、招商银行、中国银行、中国建设银行、中信银行、民生银行、兴业银行、郑州银行、河北银行、平安银行、宁波银行、华夏保险、平安保险、中国人寿、石家庄股权交易所、瑞宝麟资产、香港人寿、泰隆银行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高等院校</w:t>
      </w:r>
      <w:r>
        <w:rPr>
          <w:rFonts w:hint="eastAsia" w:ascii="微软雅黑" w:hAnsi="微软雅黑" w:eastAsia="微软雅黑" w:cs="微软雅黑"/>
          <w:color w:val="000000"/>
          <w:szCs w:val="21"/>
        </w:rPr>
        <w:t>：清华EMBA班 、北大EMBA班、浙大EMBA班、上海交大EMBA班、西安交大EMBA班、中国海洋大学EMBA班、阿里巴巴商学院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等</w:t>
      </w:r>
      <w:bookmarkStart w:id="0" w:name="_GoBack"/>
      <w:bookmarkEnd w:id="0"/>
    </w:p>
    <w:p>
      <w:pPr>
        <w:widowControl w:val="0"/>
        <w:numPr>
          <w:numId w:val="0"/>
        </w:numPr>
        <w:spacing w:line="500" w:lineRule="exact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135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97E8C"/>
    <w:multiLevelType w:val="singleLevel"/>
    <w:tmpl w:val="F5197E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8424BD"/>
    <w:multiLevelType w:val="singleLevel"/>
    <w:tmpl w:val="FB8424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722BFE"/>
    <w:multiLevelType w:val="singleLevel"/>
    <w:tmpl w:val="00722BF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A099B28"/>
    <w:multiLevelType w:val="singleLevel"/>
    <w:tmpl w:val="0A099B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B6543BD"/>
    <w:multiLevelType w:val="multilevel"/>
    <w:tmpl w:val="0B6543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0FB12DE4"/>
    <w:multiLevelType w:val="multilevel"/>
    <w:tmpl w:val="0FB12DE4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107A3FA0"/>
    <w:multiLevelType w:val="multilevel"/>
    <w:tmpl w:val="107A3FA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134C6DEB"/>
    <w:multiLevelType w:val="multilevel"/>
    <w:tmpl w:val="134C6D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420D2179"/>
    <w:multiLevelType w:val="multilevel"/>
    <w:tmpl w:val="420D2179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4C215859"/>
    <w:multiLevelType w:val="multilevel"/>
    <w:tmpl w:val="4C215859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>
    <w:nsid w:val="53409C0B"/>
    <w:multiLevelType w:val="singleLevel"/>
    <w:tmpl w:val="53409C0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3CA421F"/>
    <w:multiLevelType w:val="multilevel"/>
    <w:tmpl w:val="53CA421F"/>
    <w:lvl w:ilvl="0" w:tentative="0">
      <w:start w:val="1"/>
      <w:numFmt w:val="bullet"/>
      <w:lvlText w:val="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2">
    <w:nsid w:val="5A9BFE14"/>
    <w:multiLevelType w:val="singleLevel"/>
    <w:tmpl w:val="5A9BFE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7831FD"/>
    <w:rsid w:val="00271C7F"/>
    <w:rsid w:val="00273D67"/>
    <w:rsid w:val="00274BC5"/>
    <w:rsid w:val="00634302"/>
    <w:rsid w:val="007831FD"/>
    <w:rsid w:val="00B62E6F"/>
    <w:rsid w:val="00E8246B"/>
    <w:rsid w:val="09A339C2"/>
    <w:rsid w:val="328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3</TotalTime>
  <ScaleCrop>false</ScaleCrop>
  <LinksUpToDate>false</LinksUpToDate>
  <CharactersWithSpaces>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2023-03-10T07:45:00Z</dcterms:created>
  <dc:creator>W HQ</dc:creator>
  <cp:lastModifiedBy>陈导</cp:lastModifiedBy>
  <dcterms:modified xsi:type="dcterms:W3CDTF">2023-11-15T04:17:28Z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A3C559D18C4F4E14B960D5A74A7AE82E_12</vt:lpwstr>
  </property>
</Properties>
</file>